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  <w:i w:val="0"/>
        </w:rPr>
        <w:t>Uznání dluhu</w:t>
      </w:r>
    </w:p>
    <w:p>
      <w:pPr>
        <w:pBdr>
          <w:bottom w:val="single" w:sz="4" w:color="e1e6ed" w:space="8"/>
        </w:pBdr>
        <w:spacing w:after="160"/>
      </w:pPr>
      <w:r>
        <w:rPr>
          <w:rFonts w:ascii="Arial" w:hAnsi="Arial" w:eastAsia="Arial" w:cs="Arial"/>
          <w:b w:val="0"/>
          <w:i w:val="0"/>
          <w:color w:val="5F6B7E"/>
          <w:sz w:val="19"/>
        </w:rPr>
        <w:t>podle § 2053 a § 639 zákona č. 89/2012 Sb., občanský zákoník</w:t>
      </w:r>
    </w:p>
    <w:p>
      <w:pPr>
        <w:pStyle w:val="Heading2"/>
      </w:pPr>
      <w:r>
        <w:rPr>
          <w:b w:val="0"/>
          <w:i w:val="0"/>
        </w:rPr>
        <w:t>Strany</w:t>
      </w:r>
    </w:p>
    <w:tbl>
      <w:tblPr>
        <w:tblW w:type="dxa" w:w="9070"/>
        <w:jc w:val="center"/>
        <w:tblBorders>
          <w:top w:val="single" w:sz="4" w:color="c9d1dc"/>
          <w:left w:val="single" w:sz="4" w:color="c9d1dc"/>
          <w:bottom w:val="single" w:sz="4" w:color="c9d1dc"/>
          <w:right w:val="single" w:sz="4" w:color="c9d1dc"/>
          <w:insideH w:val="single" w:sz="4" w:color="e1e6ed"/>
          <w:insideV w:val="single" w:sz="4" w:color="e1e6ed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Column="1" w:firstRow="1" w:lastColumn="0" w:lastRow="0" w:noHBand="0" w:noVBand="1" w:val="04A0"/>
      </w:tblPr>
      <w:tblGrid>
        <w:gridCol w:w="3628"/>
        <w:gridCol w:w="5443"/>
      </w:tblGrid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Dlužník (jméno a příjmení)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[jméno a příjmení]</w:t>
            </w:r>
          </w:p>
        </w:tc>
      </w:tr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Datum narození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[dd. mm. rrrr]</w:t>
            </w:r>
          </w:p>
        </w:tc>
      </w:tr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Adresa bydliště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[ulice, číslo, PSČ, obec]</w:t>
            </w:r>
          </w:p>
        </w:tc>
      </w:tr>
    </w:tbl>
    <w:p>
      <w:pPr>
        <w:spacing w:after="80" w:line="192" w:lineRule="auto"/>
      </w:pPr>
    </w:p>
    <w:p>
      <w:pPr>
        <w:jc w:val="left"/>
      </w:pPr>
      <w:r>
        <w:rPr>
          <w:b w:val="0"/>
          <w:i w:val="0"/>
        </w:rPr>
        <w:t>(dále jen „dlužník“)</w:t>
      </w:r>
    </w:p>
    <w:tbl>
      <w:tblPr>
        <w:tblW w:type="dxa" w:w="9070"/>
        <w:jc w:val="center"/>
        <w:tblBorders>
          <w:top w:val="single" w:sz="4" w:color="c9d1dc"/>
          <w:left w:val="single" w:sz="4" w:color="c9d1dc"/>
          <w:bottom w:val="single" w:sz="4" w:color="c9d1dc"/>
          <w:right w:val="single" w:sz="4" w:color="c9d1dc"/>
          <w:insideH w:val="single" w:sz="4" w:color="e1e6ed"/>
          <w:insideV w:val="single" w:sz="4" w:color="e1e6ed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Column="1" w:firstRow="1" w:lastColumn="0" w:lastRow="0" w:noHBand="0" w:noVBand="1" w:val="04A0"/>
      </w:tblPr>
      <w:tblGrid>
        <w:gridCol w:w="3628"/>
        <w:gridCol w:w="5443"/>
      </w:tblGrid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Věřitel (jméno a příjmení)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[jméno a příjmení]</w:t>
            </w:r>
          </w:p>
        </w:tc>
      </w:tr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Datum narození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[dd. mm. rrrr]</w:t>
            </w:r>
          </w:p>
        </w:tc>
      </w:tr>
      <w:tr>
        <w:tc>
          <w:tcPr>
            <w:tcW w:type="dxa" w:w="3628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Adresa bydliště</w:t>
            </w:r>
          </w:p>
        </w:tc>
        <w:tc>
          <w:tcPr>
            <w:tcW w:type="dxa" w:w="5443"/>
          </w:tcPr>
          <w:p>
            <w:pPr>
              <w:spacing w:after="0" w:line="264" w:lineRule="auto"/>
            </w:pPr>
            <w:r>
              <w:rPr>
                <w:rFonts w:ascii="Arial" w:hAnsi="Arial" w:eastAsia="Arial" w:cs="Arial"/>
                <w:b w:val="0"/>
                <w:i w:val="0"/>
                <w:color w:val="1A283C"/>
                <w:sz w:val="19"/>
              </w:rPr>
              <w:t>[ulice, číslo, PSČ, obec]</w:t>
            </w:r>
          </w:p>
        </w:tc>
      </w:tr>
    </w:tbl>
    <w:p>
      <w:pPr>
        <w:spacing w:after="80" w:line="192" w:lineRule="auto"/>
      </w:pPr>
    </w:p>
    <w:p>
      <w:pPr>
        <w:jc w:val="left"/>
      </w:pPr>
      <w:r>
        <w:rPr>
          <w:b w:val="0"/>
          <w:i w:val="0"/>
        </w:rPr>
        <w:t>(dále jen „věřitel“)</w:t>
      </w:r>
    </w:p>
    <w:p>
      <w:pPr>
        <w:pBdr>
          <w:top w:val="single" w:sz="4" w:color="eed99c" w:space="6"/>
          <w:left w:val="single" w:sz="4" w:color="eed99c" w:space="6"/>
          <w:bottom w:val="single" w:sz="4" w:color="eed99c" w:space="6"/>
          <w:right w:val="single" w:sz="4" w:color="eed99c" w:space="6"/>
        </w:pBdr>
        <w:shd w:val="clear" w:color="auto" w:fill="fff9e9"/>
        <w:spacing w:before="120" w:after="160" w:line="288" w:lineRule="auto"/>
        <w:ind w:left="142" w:right="142"/>
      </w:pPr>
      <w:r>
        <w:rPr>
          <w:rFonts w:ascii="Arial" w:hAnsi="Arial" w:eastAsia="Arial" w:cs="Arial"/>
          <w:b w:val="0"/>
          <w:i w:val="0"/>
          <w:color w:val="3D4B62"/>
          <w:sz w:val="18"/>
        </w:rPr>
        <w:t>Je-li některá ze stran podnikatel nebo právnická osoba, uveďte obchodní firmu nebo jméno, sídlo a IČO místo data narození a bydliště.</w:t>
      </w:r>
    </w:p>
    <w:p>
      <w:pPr>
        <w:pStyle w:val="Heading2"/>
      </w:pPr>
      <w:r>
        <w:rPr>
          <w:b w:val="0"/>
          <w:i w:val="0"/>
        </w:rPr>
        <w:t>I. Uznání dluhu co do důvodu a výše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1.</w:t>
      </w:r>
      <w:r>
        <w:tab/>
      </w:r>
      <w:r>
        <w:rPr>
          <w:b w:val="0"/>
          <w:i w:val="0"/>
        </w:rPr>
        <w:t xml:space="preserve">Dlužník tímto uznává, že má vůči věřiteli dluh ve výši </w:t>
      </w:r>
      <w:r>
        <w:rPr>
          <w:b/>
          <w:i w:val="0"/>
        </w:rPr>
        <w:t>[0,00 Kč]</w:t>
      </w:r>
      <w:r>
        <w:rPr>
          <w:b w:val="0"/>
          <w:i w:val="0"/>
        </w:rPr>
        <w:t xml:space="preserve"> (slovy: [částka slovy] korun českých).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2.</w:t>
      </w:r>
      <w:r>
        <w:tab/>
      </w:r>
      <w:r>
        <w:rPr>
          <w:b w:val="0"/>
          <w:i w:val="0"/>
        </w:rPr>
        <w:t>Dluh vznikl z tohoto důvodu (popište konkrétně, např. zápůjčka poskytnutá dne [dd. mm. rrrr] v hotovosti nebo převodem na účet, neuhrazená faktura č. [číslo], náhrada škody ze dne [dd. mm. rrrr]): [popis důvodu dluhu].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3.</w:t>
      </w:r>
      <w:r>
        <w:tab/>
      </w:r>
      <w:r>
        <w:rPr>
          <w:b w:val="0"/>
          <w:i w:val="0"/>
        </w:rPr>
        <w:t>Dlužník prohlašuje, že dluh uznává co do důvodu i výše, a zavazuje se jej věřiteli zaplatit.</w:t>
      </w:r>
    </w:p>
    <w:p>
      <w:pPr>
        <w:pStyle w:val="Heading2"/>
      </w:pPr>
      <w:r>
        <w:rPr>
          <w:b w:val="0"/>
          <w:i w:val="0"/>
        </w:rPr>
        <w:t>II. Splatnost dluhu</w:t>
      </w:r>
    </w:p>
    <w:p>
      <w:pPr>
        <w:jc w:val="left"/>
      </w:pPr>
      <w:r>
        <w:rPr>
          <w:b w:val="0"/>
          <w:i w:val="0"/>
        </w:rPr>
        <w:t>Dlužník se zavazuje dluh zaplatit (nehodící se škrtněte):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 w:val="0"/>
          <w:i w:val="0"/>
          <w:color w:val="3D4B62"/>
        </w:rPr>
        <w:t>•</w:t>
      </w:r>
      <w:r>
        <w:tab/>
      </w:r>
      <w:r>
        <w:rPr>
          <w:b w:val="0"/>
          <w:i w:val="0"/>
        </w:rPr>
        <w:t>jednorázově, nejpozději do [dd. mm. rrrr],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 w:val="0"/>
          <w:i w:val="0"/>
          <w:color w:val="3D4B62"/>
        </w:rPr>
        <w:t>•</w:t>
      </w:r>
      <w:r>
        <w:tab/>
      </w:r>
      <w:r>
        <w:rPr>
          <w:b w:val="0"/>
          <w:i w:val="0"/>
        </w:rPr>
        <w:t>ve [počet] měsíčních splátkách po [0,00 Kč], splatných vždy do [den] dne v měsíci, počínaje měsícem [měsíc a rok]. Poslední splátka ve výši [0,00 Kč] je splatná do [dd. mm. rrrr].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1.</w:t>
      </w:r>
      <w:r>
        <w:tab/>
      </w:r>
      <w:r>
        <w:rPr>
          <w:b w:val="0"/>
          <w:i w:val="0"/>
        </w:rPr>
        <w:t>Platby se provádějí bezhotovostně na účet věřitele č. [číslo účtu/kód banky], IBAN [IBAN], pod variabilním symbolem [VS], případně v hotovosti proti písemnému potvrzení.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2.</w:t>
      </w:r>
      <w:r>
        <w:tab/>
      </w:r>
      <w:r>
        <w:rPr>
          <w:b w:val="0"/>
          <w:i w:val="0"/>
        </w:rPr>
        <w:t>Nezaplatí-li dlužník řádně a včas některou splátku, je věřitel oprávněn požadovat zaplacení celého zbytku dluhu; toto právo může uplatnit nejpozději do splatnosti nejblíže příští splátky (§ 1931 občanského zákoníku).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3.</w:t>
      </w:r>
      <w:r>
        <w:tab/>
      </w:r>
      <w:r>
        <w:rPr>
          <w:b w:val="0"/>
          <w:i w:val="0"/>
        </w:rPr>
        <w:t>Je-li dlužník v prodlení, zaplatí věřiteli úrok z prodlení ve výši stanovené nařízením vlády č. 351/2013 Sb. (repo sazba České národní banky pro první den kalendářního pololetí, v němž došlo k prodlení, zvýšená o 8 procentních bodů).</w:t>
      </w:r>
    </w:p>
    <w:p>
      <w:pPr>
        <w:pStyle w:val="Heading2"/>
      </w:pPr>
      <w:r>
        <w:rPr>
          <w:b w:val="0"/>
          <w:i w:val="0"/>
        </w:rPr>
        <w:t>III. Závěrečná prohlášení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1.</w:t>
      </w:r>
      <w:r>
        <w:tab/>
      </w:r>
      <w:r>
        <w:rPr>
          <w:b w:val="0"/>
          <w:i w:val="0"/>
        </w:rPr>
        <w:t>Dlužník podepisuje toto uznání dluhu svobodně, vážně a bez nátlaku, jeho obsahu rozumí a na důkaz toho je vlastnoručně podepisuje.</w:t>
      </w:r>
    </w:p>
    <w:p>
      <w:pPr>
        <w:tabs>
          <w:tab w:pos="369" w:val="left"/>
        </w:tabs>
        <w:spacing w:after="60"/>
        <w:ind w:left="369" w:hanging="283"/>
      </w:pPr>
      <w:r>
        <w:rPr>
          <w:rFonts w:ascii="Arial" w:hAnsi="Arial" w:eastAsia="Arial" w:cs="Arial"/>
          <w:b/>
          <w:i w:val="0"/>
          <w:color w:val="3D4B62"/>
          <w:sz w:val="19"/>
        </w:rPr>
        <w:t>2.</w:t>
      </w:r>
      <w:r>
        <w:tab/>
      </w:r>
      <w:r>
        <w:rPr>
          <w:b w:val="0"/>
          <w:i w:val="0"/>
        </w:rPr>
        <w:t>Uznání dluhu je vyhotoveno ve dvou stejnopisech, každá strana obdrží po jednom.</w:t>
      </w:r>
    </w:p>
    <w:p>
      <w:pPr>
        <w:jc w:val="right"/>
      </w:pPr>
      <w:r>
        <w:rPr>
          <w:b w:val="0"/>
          <w:i w:val="0"/>
        </w:rPr>
        <w:t>V [obec] dne [dd. mm. rrrr]</w:t>
      </w:r>
    </w:p>
    <w:p/>
    <w:p/>
    <w:tbl>
      <w:tblPr>
        <w:tblW w:type="dxa" w:w="9070"/>
        <w:tblLayout w:type="fixed"/>
        <w:tblLook w:firstColumn="1" w:firstRow="1" w:lastColumn="0" w:lastRow="0" w:noHBand="0" w:noVBand="1" w:val="04A0"/>
      </w:tblPr>
      <w:tblGrid>
        <w:gridCol w:w="4187"/>
        <w:gridCol w:w="698"/>
        <w:gridCol w:w="4187"/>
      </w:tblGrid>
      <w:tr>
        <w:tc>
          <w:tcPr>
            <w:tcW w:type="dxa" w:w="4187"/>
            <w:tcBorders>
              <w:top w:val="single" w:sz="6" w:color="3d4b62"/>
            </w:tcBorders>
          </w:tcPr>
          <w:p>
            <w:pPr>
              <w:spacing w:before="60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podpis dlužníka</w:t>
            </w:r>
          </w:p>
        </w:tc>
        <w:tc>
          <w:tcPr>
            <w:tcW w:type="dxa" w:w="698"/>
          </w:tcPr>
          <w:p/>
        </w:tc>
        <w:tc>
          <w:tcPr>
            <w:tcW w:type="dxa" w:w="4187"/>
            <w:tcBorders>
              <w:top w:val="single" w:sz="6" w:color="3d4b62"/>
            </w:tcBorders>
          </w:tcPr>
          <w:p>
            <w:pPr>
              <w:spacing w:before="60"/>
            </w:pPr>
            <w:r>
              <w:rPr>
                <w:rFonts w:ascii="Arial" w:hAnsi="Arial" w:eastAsia="Arial" w:cs="Arial"/>
                <w:b w:val="0"/>
                <w:i w:val="0"/>
                <w:color w:val="5F6B7E"/>
                <w:sz w:val="18"/>
              </w:rPr>
              <w:t>podpis věřitele (potvrzuje převzetí uznání)</w:t>
            </w:r>
          </w:p>
        </w:tc>
      </w:tr>
    </w:tbl>
    <w:p/>
    <w:p>
      <w:pPr>
        <w:pBdr>
          <w:top w:val="single" w:sz="4" w:color="eed99c" w:space="6"/>
          <w:left w:val="single" w:sz="4" w:color="eed99c" w:space="6"/>
          <w:bottom w:val="single" w:sz="4" w:color="eed99c" w:space="6"/>
          <w:right w:val="single" w:sz="4" w:color="eed99c" w:space="6"/>
        </w:pBdr>
        <w:shd w:val="clear" w:color="auto" w:fill="fff9e9"/>
        <w:spacing w:before="120" w:after="160" w:line="288" w:lineRule="auto"/>
        <w:ind w:left="142" w:right="142"/>
      </w:pPr>
      <w:r>
        <w:rPr>
          <w:rFonts w:ascii="Arial" w:hAnsi="Arial" w:eastAsia="Arial" w:cs="Arial"/>
          <w:b w:val="0"/>
          <w:i w:val="0"/>
          <w:color w:val="3D4B62"/>
          <w:sz w:val="18"/>
        </w:rPr>
        <w:t>Uznání dluhu je písemné prohlášení dlužníka, že dluh co do důvodu i výše existuje (§ 2053 občanského zákoníku). Bez uvedení důvodu a výše dluhu nemá právní účinky uznání. Jeho přínosy jsou dva. Má se za to, že dluh v rozsahu uznání v době uznání trval, takže případný spor o jeho existenci musí dokazovat dlužník. Promlčecí lhůta se prodlouží z obecných 3 let na 10 let ode dne uznání (§ 639). Určil-li dlužník v uznání i dobu, do které splní, běží deset let od posledního dne této doby; u splátek platí desetiletá lhůta i pro dílčí plnění a běží od splatnosti každé splátky (§ 641). Desetiletá lhůta se nevztahuje na úroky a opakující se plnění, která dospěla až po uznání (§ 642). Uznání proto podepište ještě před promlčením pohledávky. Zákon předepisuje písemnou formu, ověření podpisu není podmínkou platnosti, ale u vyšších částek ho doporučujeme (Czech POINT, notář), protože ztíží pozdější zpochybnění podpisu. Chcete-li exekuční titul bez soudu, nechte dluh uznat ve formě notářského zápisu se svolením k vykonatelnosti.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417" w:bottom="1247" w:left="1417" w:header="62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color="e1e6ed" w:space="6"/>
      </w:pBdr>
      <w:tabs>
        <w:tab w:pos="9071" w:val="right"/>
      </w:tabs>
    </w:pPr>
    <w:r>
      <w:rPr>
        <w:rFonts w:ascii="Arial" w:hAnsi="Arial" w:eastAsia="Arial" w:cs="Arial"/>
        <w:b w:val="0"/>
        <w:i w:val="0"/>
        <w:color w:val="5F6B7E"/>
        <w:sz w:val="16"/>
      </w:rPr>
      <w:t>Vzor ke stažení zdarma z bezomacek.cz  ·  stav k 14. 10. 2026</w:t>
      <w:tab/>
      <w:t xml:space="preserve">strana </w:t>
    </w:r>
    <w:r>
      <w:rPr>
        <w:rFonts w:ascii="Arial" w:hAnsi="Arial" w:eastAsia="Arial" w:cs="Arial"/>
        <w:color w:val="5F6B7E"/>
        <w:sz w:val="16"/>
      </w:rPr>
      <w:fldChar w:fldCharType="begin"/>
    </w:r>
    <w:r>
      <w:rPr>
        <w:rFonts w:ascii="Arial" w:hAnsi="Arial" w:eastAsia="Arial" w:cs="Arial"/>
        <w:color w:val="5F6B7E"/>
        <w:sz w:val="16"/>
      </w:rPr>
      <w:instrText xml:space="preserve">PAGE</w:instrText>
    </w:r>
    <w:r>
      <w:rPr>
        <w:rFonts w:ascii="Arial" w:hAnsi="Arial" w:eastAsia="Arial" w:cs="Arial"/>
        <w:color w:val="5F6B7E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4" w:color="e1e6ed" w:space="6"/>
      </w:pBdr>
      <w:tabs>
        <w:tab w:pos="9071" w:val="right"/>
      </w:tabs>
    </w:pPr>
    <w:r>
      <w:drawing>
        <wp:inline xmlns:a="http://schemas.openxmlformats.org/drawingml/2006/main" xmlns:pic="http://schemas.openxmlformats.org/drawingml/2006/picture">
          <wp:extent cx="1080000" cy="21675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216750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 w:val="0"/>
        <w:i w:val="0"/>
        <w:color w:val="3DCB82"/>
        <w:sz w:val="18"/>
      </w:rPr>
      <w:t xml:space="preserve">●  </w:t>
    </w:r>
    <w:r>
      <w:rPr>
        <w:rFonts w:ascii="Arial" w:hAnsi="Arial" w:eastAsia="Arial" w:cs="Arial"/>
        <w:b w:val="0"/>
        <w:i w:val="0"/>
        <w:color w:val="5F6B7E"/>
        <w:sz w:val="16"/>
      </w:rPr>
      <w:t>Finance  ·  Uznání dluhu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Georgia" w:hAnsi="Georgia" w:eastAsia="Georgia" w:cs="Georgia"/>
      <w:color w:val="0D1B2F"/>
      <w:sz w:val="21"/>
      <w:lang w:val="cs-CZ" w:eastAsia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eastAsia="Arial" w:cs="Arial"/>
      <w:b/>
      <w:bCs/>
      <w:i w:val="0"/>
      <w:color w:val="0D1B2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64" w:lineRule="auto" w:before="0"/>
      <w:contextualSpacing/>
    </w:pPr>
    <w:rPr>
      <w:rFonts w:ascii="Arial" w:hAnsi="Arial" w:eastAsia="Arial" w:cs="Arial"/>
      <w:b/>
      <w:i w:val="0"/>
      <w:color w:val="0D1B2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Uznání dluhu</dc:title>
  <dc:subject>Vzor ke stažení zdarma - Uznání dluhu</dc:subject>
  <dc:creator>Redakce Bezomacek.cz</dc:creator>
  <cp:keywords>uznání dluhu vzor, vzor uznání dluhu, uznání dluhu a splátkový kalendář, prodloužení promlčecí lhůty, uznání dluhu ke stažení</cp:keywords>
  <dc:description>Vzor Bezomacek.cz, stav k 14. 10. 2026</dc:description>
  <cp:lastModifiedBy>Bezomacek.cz</cp:lastModifiedBy>
  <cp:revision>1</cp:revision>
  <dcterms:created xsi:type="dcterms:W3CDTF">2026-10-14T09:00:00Z</dcterms:created>
  <dcterms:modified xsi:type="dcterms:W3CDTF">2026-10-14T09:00:00Z</dcterms:modified>
  <cp:category>Finance</cp:category>
  <dc:language>cs-CZ</dc:language>
</cp:coreProperties>
</file>